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CF" w:rsidRPr="009F12EA" w:rsidRDefault="00E7166B" w:rsidP="000E11CF">
      <w:pPr>
        <w:ind w:left="960" w:hangingChars="400" w:hanging="960"/>
        <w:rPr>
          <w:rFonts w:asciiTheme="minorEastAsia" w:hAnsiTheme="minorEastAsia"/>
          <w:sz w:val="24"/>
          <w:szCs w:val="24"/>
        </w:rPr>
      </w:pPr>
      <w:r>
        <w:rPr>
          <w:rFonts w:asciiTheme="minorEastAsia" w:hAnsiTheme="minorEastAsia" w:hint="eastAsia"/>
          <w:sz w:val="24"/>
          <w:szCs w:val="24"/>
        </w:rPr>
        <w:t>別表第2</w:t>
      </w:r>
      <w:r w:rsidR="000E11CF">
        <w:rPr>
          <w:rFonts w:asciiTheme="minorEastAsia" w:hAnsiTheme="minorEastAsia" w:hint="eastAsia"/>
          <w:sz w:val="24"/>
          <w:szCs w:val="24"/>
        </w:rPr>
        <w:t>（第21</w:t>
      </w:r>
      <w:r w:rsidR="00847C2B">
        <w:rPr>
          <w:rFonts w:asciiTheme="minorEastAsia" w:hAnsiTheme="minorEastAsia" w:hint="eastAsia"/>
          <w:sz w:val="24"/>
          <w:szCs w:val="24"/>
        </w:rPr>
        <w:t>,27</w:t>
      </w:r>
      <w:r w:rsidR="000E11CF">
        <w:rPr>
          <w:rFonts w:asciiTheme="minorEastAsia" w:hAnsiTheme="minorEastAsia" w:hint="eastAsia"/>
          <w:sz w:val="24"/>
          <w:szCs w:val="24"/>
        </w:rPr>
        <w:t>条関係）</w:t>
      </w:r>
      <w:bookmarkStart w:id="0" w:name="_GoBack"/>
      <w:bookmarkEnd w:id="0"/>
    </w:p>
    <w:p w:rsidR="000E11CF" w:rsidRDefault="000E11CF" w:rsidP="000E11CF">
      <w:pPr>
        <w:ind w:left="960" w:hangingChars="400" w:hanging="960"/>
        <w:rPr>
          <w:rFonts w:asciiTheme="minorEastAsia" w:hAnsiTheme="minorEastAsia"/>
          <w:color w:val="0000FF"/>
          <w:sz w:val="24"/>
          <w:szCs w:val="24"/>
        </w:rPr>
      </w:pPr>
      <w:r w:rsidRPr="009F12EA">
        <w:rPr>
          <w:rFonts w:asciiTheme="minorEastAsia" w:hAnsiTheme="minorEastAsia" w:hint="eastAsia"/>
          <w:sz w:val="24"/>
          <w:szCs w:val="24"/>
        </w:rPr>
        <w:t>健康管理区分判定基準</w:t>
      </w:r>
    </w:p>
    <w:tbl>
      <w:tblPr>
        <w:tblStyle w:val="2"/>
        <w:tblW w:w="9744" w:type="dxa"/>
        <w:tblInd w:w="-5" w:type="dxa"/>
        <w:tblLook w:val="04A0" w:firstRow="1" w:lastRow="0" w:firstColumn="1" w:lastColumn="0" w:noHBand="0" w:noVBand="1"/>
      </w:tblPr>
      <w:tblGrid>
        <w:gridCol w:w="582"/>
        <w:gridCol w:w="1066"/>
        <w:gridCol w:w="472"/>
        <w:gridCol w:w="3280"/>
        <w:gridCol w:w="4344"/>
      </w:tblGrid>
      <w:tr w:rsidR="000E11CF" w:rsidRPr="009F12EA" w:rsidTr="008A458B">
        <w:tc>
          <w:tcPr>
            <w:tcW w:w="2120" w:type="dxa"/>
            <w:gridSpan w:val="3"/>
          </w:tcPr>
          <w:p w:rsidR="000E11CF" w:rsidRPr="009F12EA" w:rsidRDefault="000E11CF" w:rsidP="008A458B">
            <w:pPr>
              <w:jc w:val="center"/>
              <w:rPr>
                <w:rFonts w:asciiTheme="minorEastAsia" w:hAnsiTheme="minorEastAsia"/>
                <w:sz w:val="24"/>
                <w:szCs w:val="24"/>
              </w:rPr>
            </w:pPr>
            <w:r w:rsidRPr="009F12EA">
              <w:rPr>
                <w:rFonts w:asciiTheme="minorEastAsia" w:hAnsiTheme="minorEastAsia" w:hint="eastAsia"/>
                <w:sz w:val="24"/>
                <w:szCs w:val="24"/>
              </w:rPr>
              <w:t>区分</w:t>
            </w:r>
          </w:p>
        </w:tc>
        <w:tc>
          <w:tcPr>
            <w:tcW w:w="3280" w:type="dxa"/>
          </w:tcPr>
          <w:p w:rsidR="000E11CF" w:rsidRPr="009F12EA" w:rsidRDefault="000E11CF" w:rsidP="008A458B">
            <w:pPr>
              <w:jc w:val="center"/>
              <w:rPr>
                <w:rFonts w:asciiTheme="minorEastAsia" w:hAnsiTheme="minorEastAsia"/>
                <w:sz w:val="24"/>
                <w:szCs w:val="24"/>
              </w:rPr>
            </w:pPr>
            <w:r w:rsidRPr="009F12EA">
              <w:rPr>
                <w:rFonts w:asciiTheme="minorEastAsia" w:hAnsiTheme="minorEastAsia" w:hint="eastAsia"/>
                <w:sz w:val="24"/>
                <w:szCs w:val="24"/>
              </w:rPr>
              <w:t>健康診断等の結果の判定</w:t>
            </w:r>
          </w:p>
        </w:tc>
        <w:tc>
          <w:tcPr>
            <w:tcW w:w="4344" w:type="dxa"/>
          </w:tcPr>
          <w:p w:rsidR="000E11CF" w:rsidRPr="009F12EA" w:rsidRDefault="000E11CF" w:rsidP="008A458B">
            <w:pPr>
              <w:jc w:val="center"/>
              <w:rPr>
                <w:rFonts w:asciiTheme="minorEastAsia" w:hAnsiTheme="minorEastAsia"/>
                <w:sz w:val="24"/>
                <w:szCs w:val="24"/>
              </w:rPr>
            </w:pPr>
            <w:r w:rsidRPr="009F12EA">
              <w:rPr>
                <w:rFonts w:asciiTheme="minorEastAsia" w:hAnsiTheme="minorEastAsia" w:hint="eastAsia"/>
                <w:sz w:val="24"/>
                <w:szCs w:val="24"/>
              </w:rPr>
              <w:t>健康診断等の結果に対する措置</w:t>
            </w:r>
          </w:p>
        </w:tc>
      </w:tr>
      <w:tr w:rsidR="000E11CF" w:rsidRPr="009F12EA" w:rsidTr="008A458B">
        <w:tc>
          <w:tcPr>
            <w:tcW w:w="582" w:type="dxa"/>
            <w:vMerge w:val="restart"/>
            <w:textDirection w:val="tbRlV"/>
          </w:tcPr>
          <w:p w:rsidR="000E11CF" w:rsidRPr="009F12EA" w:rsidRDefault="000E11CF" w:rsidP="008A458B">
            <w:pPr>
              <w:ind w:left="113" w:right="113"/>
              <w:jc w:val="center"/>
              <w:rPr>
                <w:rFonts w:asciiTheme="minorEastAsia" w:hAnsiTheme="minorEastAsia"/>
                <w:sz w:val="24"/>
                <w:szCs w:val="24"/>
              </w:rPr>
            </w:pPr>
            <w:r w:rsidRPr="009F12EA">
              <w:rPr>
                <w:rFonts w:asciiTheme="minorEastAsia" w:hAnsiTheme="minorEastAsia" w:hint="eastAsia"/>
                <w:sz w:val="24"/>
                <w:szCs w:val="24"/>
              </w:rPr>
              <w:t>要保護</w:t>
            </w:r>
          </w:p>
        </w:tc>
        <w:tc>
          <w:tcPr>
            <w:tcW w:w="1538" w:type="dxa"/>
            <w:gridSpan w:val="2"/>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要療養者</w:t>
            </w:r>
          </w:p>
        </w:tc>
        <w:tc>
          <w:tcPr>
            <w:tcW w:w="3280"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勤務を休む必要があり、治療を必要とする者</w:t>
            </w:r>
          </w:p>
        </w:tc>
        <w:tc>
          <w:tcPr>
            <w:tcW w:w="4344"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勤務を休ませ、その病状に応じて自宅治療、入院治療等の適切な治療を受けさせる。</w:t>
            </w:r>
          </w:p>
          <w:p w:rsidR="000E11CF" w:rsidRPr="009F12EA" w:rsidRDefault="000E11CF" w:rsidP="008A458B">
            <w:pPr>
              <w:rPr>
                <w:rFonts w:asciiTheme="minorEastAsia" w:hAnsiTheme="minorEastAsia"/>
                <w:sz w:val="24"/>
                <w:szCs w:val="24"/>
              </w:rPr>
            </w:pPr>
          </w:p>
        </w:tc>
      </w:tr>
      <w:tr w:rsidR="000E11CF" w:rsidRPr="009F12EA" w:rsidTr="008A458B">
        <w:tc>
          <w:tcPr>
            <w:tcW w:w="582" w:type="dxa"/>
            <w:vMerge/>
          </w:tcPr>
          <w:p w:rsidR="000E11CF" w:rsidRPr="009F12EA" w:rsidRDefault="000E11CF" w:rsidP="008A458B">
            <w:pPr>
              <w:rPr>
                <w:rFonts w:asciiTheme="minorEastAsia" w:hAnsiTheme="minorEastAsia"/>
                <w:sz w:val="24"/>
                <w:szCs w:val="24"/>
              </w:rPr>
            </w:pPr>
          </w:p>
        </w:tc>
        <w:tc>
          <w:tcPr>
            <w:tcW w:w="1538" w:type="dxa"/>
            <w:gridSpan w:val="2"/>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要治療者</w:t>
            </w:r>
          </w:p>
        </w:tc>
        <w:tc>
          <w:tcPr>
            <w:tcW w:w="3280"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勤務に制限を加える必要があり、治療を必要とする者</w:t>
            </w:r>
          </w:p>
        </w:tc>
        <w:tc>
          <w:tcPr>
            <w:tcW w:w="4344"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時間外勤務の禁止、配置転換その他適当な措置を講ずるとともに治療を受けさせる。</w:t>
            </w:r>
          </w:p>
          <w:p w:rsidR="000E11CF" w:rsidRPr="009F12EA" w:rsidRDefault="000E11CF" w:rsidP="008A458B">
            <w:pPr>
              <w:rPr>
                <w:rFonts w:asciiTheme="minorEastAsia" w:hAnsiTheme="minorEastAsia"/>
                <w:sz w:val="24"/>
                <w:szCs w:val="24"/>
              </w:rPr>
            </w:pPr>
          </w:p>
        </w:tc>
      </w:tr>
      <w:tr w:rsidR="000E11CF" w:rsidRPr="009F12EA" w:rsidTr="008A458B">
        <w:tc>
          <w:tcPr>
            <w:tcW w:w="582" w:type="dxa"/>
            <w:vMerge/>
            <w:textDirection w:val="tbRlV"/>
          </w:tcPr>
          <w:p w:rsidR="000E11CF" w:rsidRPr="009F12EA" w:rsidRDefault="000E11CF" w:rsidP="008A458B">
            <w:pPr>
              <w:ind w:left="113" w:right="113"/>
              <w:jc w:val="center"/>
              <w:rPr>
                <w:rFonts w:asciiTheme="minorEastAsia" w:hAnsiTheme="minorEastAsia"/>
                <w:sz w:val="24"/>
                <w:szCs w:val="24"/>
              </w:rPr>
            </w:pPr>
          </w:p>
        </w:tc>
        <w:tc>
          <w:tcPr>
            <w:tcW w:w="1066" w:type="dxa"/>
            <w:vMerge w:val="restart"/>
            <w:textDirection w:val="tbRlV"/>
          </w:tcPr>
          <w:p w:rsidR="000E11CF" w:rsidRPr="009F12EA" w:rsidRDefault="000E11CF" w:rsidP="008A458B">
            <w:pPr>
              <w:ind w:left="113" w:right="113"/>
              <w:jc w:val="center"/>
              <w:rPr>
                <w:rFonts w:asciiTheme="minorEastAsia" w:hAnsiTheme="minorEastAsia"/>
                <w:sz w:val="24"/>
                <w:szCs w:val="24"/>
              </w:rPr>
            </w:pPr>
          </w:p>
          <w:p w:rsidR="000E11CF" w:rsidRPr="009F12EA" w:rsidRDefault="000E11CF" w:rsidP="008A458B">
            <w:pPr>
              <w:ind w:left="113" w:right="113"/>
              <w:jc w:val="center"/>
              <w:rPr>
                <w:rFonts w:asciiTheme="minorEastAsia" w:hAnsiTheme="minorEastAsia"/>
                <w:sz w:val="24"/>
                <w:szCs w:val="24"/>
              </w:rPr>
            </w:pPr>
            <w:r w:rsidRPr="009F12EA">
              <w:rPr>
                <w:rFonts w:asciiTheme="minorEastAsia" w:hAnsiTheme="minorEastAsia" w:hint="eastAsia"/>
                <w:sz w:val="24"/>
                <w:szCs w:val="24"/>
              </w:rPr>
              <w:t>要注意者</w:t>
            </w:r>
          </w:p>
        </w:tc>
        <w:tc>
          <w:tcPr>
            <w:tcW w:w="472" w:type="dxa"/>
          </w:tcPr>
          <w:p w:rsidR="000E11CF" w:rsidRPr="009F12EA" w:rsidRDefault="000E11CF" w:rsidP="008A458B">
            <w:pPr>
              <w:spacing w:line="720" w:lineRule="auto"/>
              <w:rPr>
                <w:rFonts w:asciiTheme="minorEastAsia" w:hAnsiTheme="minorEastAsia"/>
                <w:sz w:val="24"/>
                <w:szCs w:val="24"/>
              </w:rPr>
            </w:pPr>
            <w:r w:rsidRPr="009F12EA">
              <w:rPr>
                <w:rFonts w:asciiTheme="minorEastAsia" w:hAnsiTheme="minorEastAsia" w:hint="eastAsia"/>
                <w:sz w:val="24"/>
                <w:szCs w:val="24"/>
              </w:rPr>
              <w:t>1</w:t>
            </w:r>
          </w:p>
        </w:tc>
        <w:tc>
          <w:tcPr>
            <w:tcW w:w="3280"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勤務に制限を加える必要があり定期的に医師の観察指導などを受ける必要がある者</w:t>
            </w:r>
          </w:p>
        </w:tc>
        <w:tc>
          <w:tcPr>
            <w:tcW w:w="4344"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時間外勤務を禁止又は制限し、過労とならないよう配慮するとともに、発病又は再発防止のため1年2回以上の指導を行い、必要に応じて精密検査を行う。</w:t>
            </w:r>
          </w:p>
          <w:p w:rsidR="000E11CF" w:rsidRPr="009F12EA" w:rsidRDefault="000E11CF" w:rsidP="008A458B">
            <w:pPr>
              <w:rPr>
                <w:rFonts w:asciiTheme="minorEastAsia" w:hAnsiTheme="minorEastAsia"/>
                <w:sz w:val="24"/>
                <w:szCs w:val="24"/>
              </w:rPr>
            </w:pPr>
          </w:p>
        </w:tc>
      </w:tr>
      <w:tr w:rsidR="000E11CF" w:rsidRPr="009F12EA" w:rsidTr="008A458B">
        <w:tc>
          <w:tcPr>
            <w:tcW w:w="582" w:type="dxa"/>
            <w:vMerge/>
          </w:tcPr>
          <w:p w:rsidR="000E11CF" w:rsidRPr="009F12EA" w:rsidRDefault="000E11CF" w:rsidP="008A458B">
            <w:pPr>
              <w:rPr>
                <w:rFonts w:asciiTheme="minorEastAsia" w:hAnsiTheme="minorEastAsia"/>
                <w:sz w:val="24"/>
                <w:szCs w:val="24"/>
              </w:rPr>
            </w:pPr>
          </w:p>
        </w:tc>
        <w:tc>
          <w:tcPr>
            <w:tcW w:w="1066" w:type="dxa"/>
            <w:vMerge/>
          </w:tcPr>
          <w:p w:rsidR="000E11CF" w:rsidRPr="009F12EA" w:rsidRDefault="000E11CF" w:rsidP="008A458B">
            <w:pPr>
              <w:rPr>
                <w:rFonts w:asciiTheme="minorEastAsia" w:hAnsiTheme="minorEastAsia"/>
                <w:sz w:val="24"/>
                <w:szCs w:val="24"/>
              </w:rPr>
            </w:pPr>
          </w:p>
        </w:tc>
        <w:tc>
          <w:tcPr>
            <w:tcW w:w="472" w:type="dxa"/>
          </w:tcPr>
          <w:p w:rsidR="000E11CF" w:rsidRPr="009F12EA" w:rsidRDefault="000E11CF" w:rsidP="008A458B">
            <w:pPr>
              <w:spacing w:line="720" w:lineRule="auto"/>
              <w:rPr>
                <w:rFonts w:asciiTheme="minorEastAsia" w:hAnsiTheme="minorEastAsia"/>
                <w:sz w:val="24"/>
                <w:szCs w:val="24"/>
              </w:rPr>
            </w:pPr>
            <w:r w:rsidRPr="009F12EA">
              <w:rPr>
                <w:rFonts w:asciiTheme="minorEastAsia" w:hAnsiTheme="minorEastAsia" w:hint="eastAsia"/>
                <w:sz w:val="24"/>
                <w:szCs w:val="24"/>
              </w:rPr>
              <w:t>2</w:t>
            </w:r>
          </w:p>
        </w:tc>
        <w:tc>
          <w:tcPr>
            <w:tcW w:w="3280"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勤務をほぼ平常に行ってよいが、定期的に医師の観察指導を受ける必要がある者</w:t>
            </w:r>
          </w:p>
        </w:tc>
        <w:tc>
          <w:tcPr>
            <w:tcW w:w="4344"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時間外勤務を制限し、過労とならないよう配慮するとともに、発病又は再発防止のため1年に2回の指導を行い、必要に応じて精密検査を行う。</w:t>
            </w:r>
          </w:p>
          <w:p w:rsidR="000E11CF" w:rsidRPr="009F12EA" w:rsidRDefault="000E11CF" w:rsidP="008A458B">
            <w:pPr>
              <w:rPr>
                <w:rFonts w:asciiTheme="minorEastAsia" w:hAnsiTheme="minorEastAsia"/>
                <w:sz w:val="24"/>
                <w:szCs w:val="24"/>
              </w:rPr>
            </w:pPr>
          </w:p>
        </w:tc>
      </w:tr>
      <w:tr w:rsidR="000E11CF" w:rsidRPr="009F12EA" w:rsidTr="008A458B">
        <w:tc>
          <w:tcPr>
            <w:tcW w:w="582" w:type="dxa"/>
            <w:vMerge/>
          </w:tcPr>
          <w:p w:rsidR="000E11CF" w:rsidRPr="009F12EA" w:rsidRDefault="000E11CF" w:rsidP="008A458B">
            <w:pPr>
              <w:rPr>
                <w:rFonts w:asciiTheme="minorEastAsia" w:hAnsiTheme="minorEastAsia"/>
                <w:sz w:val="24"/>
                <w:szCs w:val="24"/>
              </w:rPr>
            </w:pPr>
          </w:p>
        </w:tc>
        <w:tc>
          <w:tcPr>
            <w:tcW w:w="1066" w:type="dxa"/>
            <w:vMerge/>
          </w:tcPr>
          <w:p w:rsidR="000E11CF" w:rsidRPr="009F12EA" w:rsidRDefault="000E11CF" w:rsidP="008A458B">
            <w:pPr>
              <w:rPr>
                <w:rFonts w:asciiTheme="minorEastAsia" w:hAnsiTheme="minorEastAsia"/>
                <w:sz w:val="24"/>
                <w:szCs w:val="24"/>
              </w:rPr>
            </w:pPr>
          </w:p>
        </w:tc>
        <w:tc>
          <w:tcPr>
            <w:tcW w:w="472" w:type="dxa"/>
          </w:tcPr>
          <w:p w:rsidR="000E11CF" w:rsidRPr="009F12EA" w:rsidRDefault="000E11CF" w:rsidP="008A458B">
            <w:pPr>
              <w:spacing w:line="720" w:lineRule="auto"/>
              <w:rPr>
                <w:rFonts w:asciiTheme="minorEastAsia" w:hAnsiTheme="minorEastAsia"/>
                <w:sz w:val="24"/>
                <w:szCs w:val="24"/>
              </w:rPr>
            </w:pPr>
            <w:r w:rsidRPr="009F12EA">
              <w:rPr>
                <w:rFonts w:asciiTheme="minorEastAsia" w:hAnsiTheme="minorEastAsia" w:hint="eastAsia"/>
                <w:sz w:val="24"/>
                <w:szCs w:val="24"/>
              </w:rPr>
              <w:t>3</w:t>
            </w:r>
          </w:p>
        </w:tc>
        <w:tc>
          <w:tcPr>
            <w:tcW w:w="3280"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勤務を平常に行ってよいが、定期的に医師の観察指導を受ける必要がある者</w:t>
            </w:r>
          </w:p>
        </w:tc>
        <w:tc>
          <w:tcPr>
            <w:tcW w:w="4344"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過労とならないよう配慮するとともに、発病又は再発防止のため1年に1回の指導を行い、必要に応じて精密検査を行う。</w:t>
            </w:r>
          </w:p>
          <w:p w:rsidR="000E11CF" w:rsidRPr="009F12EA" w:rsidRDefault="000E11CF" w:rsidP="008A458B">
            <w:pPr>
              <w:rPr>
                <w:rFonts w:asciiTheme="minorEastAsia" w:hAnsiTheme="minorEastAsia"/>
                <w:sz w:val="24"/>
                <w:szCs w:val="24"/>
              </w:rPr>
            </w:pPr>
          </w:p>
        </w:tc>
      </w:tr>
      <w:tr w:rsidR="000E11CF" w:rsidRPr="009F12EA" w:rsidTr="008A458B">
        <w:trPr>
          <w:trHeight w:val="894"/>
        </w:trPr>
        <w:tc>
          <w:tcPr>
            <w:tcW w:w="2120" w:type="dxa"/>
            <w:gridSpan w:val="3"/>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健康者</w:t>
            </w:r>
          </w:p>
        </w:tc>
        <w:tc>
          <w:tcPr>
            <w:tcW w:w="3280"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平常の勤務を行ってよい者</w:t>
            </w:r>
          </w:p>
        </w:tc>
        <w:tc>
          <w:tcPr>
            <w:tcW w:w="4344" w:type="dxa"/>
          </w:tcPr>
          <w:p w:rsidR="000E11CF" w:rsidRPr="009F12EA" w:rsidRDefault="000E11CF" w:rsidP="008A458B">
            <w:pPr>
              <w:rPr>
                <w:rFonts w:asciiTheme="minorEastAsia" w:hAnsiTheme="minorEastAsia"/>
                <w:sz w:val="24"/>
                <w:szCs w:val="24"/>
              </w:rPr>
            </w:pPr>
            <w:r w:rsidRPr="009F12EA">
              <w:rPr>
                <w:rFonts w:asciiTheme="minorEastAsia" w:hAnsiTheme="minorEastAsia" w:hint="eastAsia"/>
                <w:sz w:val="24"/>
                <w:szCs w:val="24"/>
              </w:rPr>
              <w:t>特になし。</w:t>
            </w:r>
          </w:p>
        </w:tc>
      </w:tr>
    </w:tbl>
    <w:p w:rsidR="000E11CF" w:rsidRDefault="000E11CF" w:rsidP="000E11CF">
      <w:pPr>
        <w:ind w:left="964" w:hangingChars="400" w:hanging="964"/>
        <w:jc w:val="left"/>
        <w:rPr>
          <w:b/>
          <w:sz w:val="24"/>
          <w:szCs w:val="24"/>
        </w:rPr>
      </w:pPr>
    </w:p>
    <w:p w:rsidR="00925C62" w:rsidRDefault="00925C62"/>
    <w:sectPr w:rsidR="00925C62" w:rsidSect="000E11C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CF"/>
    <w:rsid w:val="000E11CF"/>
    <w:rsid w:val="003676E9"/>
    <w:rsid w:val="004344B3"/>
    <w:rsid w:val="00847C2B"/>
    <w:rsid w:val="00925C62"/>
    <w:rsid w:val="00E71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15D695-25CA-4ABC-92B4-8962969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1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4344B3"/>
    <w:pPr>
      <w:framePr w:w="6804" w:h="2268" w:hRule="exact" w:hSpace="142" w:wrap="auto" w:hAnchor="page" w:xAlign="center" w:yAlign="bottom"/>
      <w:snapToGrid w:val="0"/>
      <w:ind w:leftChars="1400" w:left="100"/>
    </w:pPr>
    <w:rPr>
      <w:rFonts w:asciiTheme="majorHAnsi" w:eastAsiaTheme="majorEastAsia" w:hAnsiTheme="majorHAnsi" w:cstheme="majorBidi"/>
      <w:sz w:val="36"/>
      <w:szCs w:val="24"/>
    </w:rPr>
  </w:style>
  <w:style w:type="table" w:customStyle="1" w:styleId="2">
    <w:name w:val="表 (格子)2"/>
    <w:basedOn w:val="a1"/>
    <w:next w:val="a4"/>
    <w:uiPriority w:val="39"/>
    <w:rsid w:val="000E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E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x00035</dc:creator>
  <cp:keywords/>
  <dc:description/>
  <cp:lastModifiedBy>庶務係　共用</cp:lastModifiedBy>
  <cp:revision>6</cp:revision>
  <dcterms:created xsi:type="dcterms:W3CDTF">2017-07-13T05:41:00Z</dcterms:created>
  <dcterms:modified xsi:type="dcterms:W3CDTF">2021-02-25T02:30:00Z</dcterms:modified>
  <cp:contentStatus/>
</cp:coreProperties>
</file>